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AI fundraising software RFP template</w:t>
      </w:r>
    </w:p>
    <w:p>
      <w:r>
        <w:t>Use this document to compare vendors against one real donor workflow. Replace the bracketed fields, remove questions that do not apply, and require every finalist to answer against the same workflow.</w:t>
      </w:r>
    </w:p>
    <w:p>
      <w:r>
        <w:t>Score inspectable evidence, not the confidence of the sales presentation.</w:t>
      </w:r>
    </w:p>
    <w:p>
      <w:pPr>
        <w:pStyle w:val="Heading1"/>
      </w:pPr>
      <w:r>
        <w:t>1. Institutional context and first-workflow brief</w:t>
      </w:r>
    </w:p>
    <w:p>
      <w:pPr>
        <w:pStyle w:val="ListBullet"/>
      </w:pPr>
      <w:r>
        <w:t>Institution type and advancement team: [organization, team structure, primary users].</w:t>
      </w:r>
    </w:p>
    <w:p>
      <w:pPr>
        <w:pStyle w:val="ListBullet"/>
      </w:pPr>
      <w:r>
        <w:t>Current system of record: [CRM and relevant connected systems].</w:t>
      </w:r>
    </w:p>
    <w:p>
      <w:pPr>
        <w:pStyle w:val="ListBullet"/>
      </w:pPr>
      <w:r>
        <w:t>First donor workflow: [post-event follow-up, scholarship stewardship, renewal, meeting preparation, pledge review, reactivation, or other].</w:t>
      </w:r>
    </w:p>
    <w:p>
      <w:pPr>
        <w:pStyle w:val="ListBullet"/>
      </w:pPr>
      <w:r>
        <w:t>Current operating chain: [trigger, owner, source context, proof requirement, approval gate, donor-facing action, outcome capture].</w:t>
      </w:r>
    </w:p>
    <w:p>
      <w:pPr>
        <w:pStyle w:val="ListBullet"/>
      </w:pPr>
      <w:r>
        <w:t>Known failure point and baseline evidence: [where work stalls today and how the team knows].</w:t>
      </w:r>
    </w:p>
    <w:p>
      <w:pPr>
        <w:pStyle w:val="ListBullet"/>
      </w:pPr>
      <w:r>
        <w:t>First-phase boundary: [records, teams, actions, and donor-facing steps explicitly out of scope].</w:t>
      </w:r>
    </w:p>
    <w:p>
      <w:pPr>
        <w:pStyle w:val="Heading1"/>
      </w:pPr>
      <w:r>
        <w:t>2. Workflow fit and ownership</w:t>
      </w:r>
    </w:p>
    <w:p>
      <w:pPr>
        <w:pStyle w:val="ListNumber"/>
      </w:pPr>
      <w:r>
        <w:t>Show how the proposed system detects the workflow trigger and distinguishes a valid signal from stale, duplicate, or incomplete data.</w:t>
      </w:r>
    </w:p>
    <w:p>
      <w:pPr>
        <w:pStyle w:val="ListNumber"/>
      </w:pPr>
      <w:r>
        <w:t>Show how a named human owner receives, accepts, reassigns, pauses, and completes the next action.</w:t>
      </w:r>
    </w:p>
    <w:p>
      <w:pPr>
        <w:pStyle w:val="ListNumber"/>
      </w:pPr>
      <w:r>
        <w:t>Describe exception handling when no owner exists, the deadline passes, or the record conflicts with another source.</w:t>
      </w:r>
    </w:p>
    <w:p>
      <w:pPr>
        <w:pStyle w:val="ListNumber"/>
      </w:pPr>
      <w:r>
        <w:t>Identify each step that is standard configuration, custom work, partner-delivered work, roadmap, or unsupported.</w:t>
      </w:r>
    </w:p>
    <w:p>
      <w:pPr>
        <w:pStyle w:val="Heading1"/>
      </w:pPr>
      <w:r>
        <w:t>3. CRM fit, sources, and uncertainty</w:t>
      </w:r>
    </w:p>
    <w:p>
      <w:pPr>
        <w:pStyle w:val="ListNumber"/>
      </w:pPr>
      <w:r>
        <w:t>List the CRM objects and connected sources the workflow reads, creates, or updates. State which system remains authoritative for each record.</w:t>
      </w:r>
    </w:p>
    <w:p>
      <w:pPr>
        <w:pStyle w:val="ListNumber"/>
      </w:pPr>
      <w:r>
        <w:t>Show how a reviewer can trace a brief, recommendation, or blocker to the source records that support it.</w:t>
      </w:r>
    </w:p>
    <w:p>
      <w:pPr>
        <w:pStyle w:val="ListNumber"/>
      </w:pPr>
      <w:r>
        <w:t>Show how the system separates known facts, missing information, stale context, and inference.</w:t>
      </w:r>
    </w:p>
    <w:p>
      <w:pPr>
        <w:pStyle w:val="ListNumber"/>
      </w:pPr>
      <w:r>
        <w:t>Explain how decisions and outcomes return to the CRM or approved operating record without creating a shadow system of record.</w:t>
      </w:r>
    </w:p>
    <w:p>
      <w:pPr>
        <w:pStyle w:val="Heading1"/>
      </w:pPr>
      <w:r>
        <w:t>4. Human governance and stopping behavior</w:t>
      </w:r>
    </w:p>
    <w:p>
      <w:pPr>
        <w:pStyle w:val="ListNumber"/>
      </w:pPr>
      <w:r>
        <w:t>Map the approval gates for the proposed workflow, including fundraiser, manager, stewardship, research, finance, legal, or leadership review where relevant.</w:t>
      </w:r>
    </w:p>
    <w:p>
      <w:pPr>
        <w:pStyle w:val="ListNumber"/>
      </w:pPr>
      <w:r>
        <w:t>Demonstrate a green case that can proceed, a yellow case that requires more context, and a red case that must stop or escalate.</w:t>
      </w:r>
    </w:p>
    <w:p>
      <w:pPr>
        <w:pStyle w:val="ListNumber"/>
      </w:pPr>
      <w:r>
        <w:t>Show the audit trail for generated output, source review, edits, approval, donor-facing action, pause, and override.</w:t>
      </w:r>
    </w:p>
    <w:p>
      <w:pPr>
        <w:pStyle w:val="ListNumber"/>
      </w:pPr>
      <w:r>
        <w:t>State which donor-facing actions the system cannot take without explicit human approval.</w:t>
      </w:r>
    </w:p>
    <w:p>
      <w:pPr>
        <w:pStyle w:val="Heading1"/>
      </w:pPr>
      <w:r>
        <w:t>5. Donor-data, security, privacy, and accessibility controls</w:t>
      </w:r>
    </w:p>
    <w:p>
      <w:pPr>
        <w:pStyle w:val="ListNumber"/>
      </w:pPr>
      <w:r>
        <w:t>Document role-based access, least-privilege controls, retention, deletion, export, encryption, audit logging, incident response, and subprocessor oversight.</w:t>
      </w:r>
    </w:p>
    <w:p>
      <w:pPr>
        <w:pStyle w:val="ListNumber"/>
      </w:pPr>
      <w:r>
        <w:t>State whether customer data, prompts, outputs, or feedback are used to train any model and identify the governing contract terms.</w:t>
      </w:r>
    </w:p>
    <w:p>
      <w:pPr>
        <w:pStyle w:val="ListNumber"/>
      </w:pPr>
      <w:r>
        <w:t>Describe how restrictions, sensitive notes, consent or communication preferences, and deleted records affect workflow behavior.</w:t>
      </w:r>
    </w:p>
    <w:p>
      <w:pPr>
        <w:pStyle w:val="ListNumber"/>
      </w:pPr>
      <w:r>
        <w:t>Provide current security, privacy, and accessibility evidence. Distinguish completed controls from plans or roadmap commitments.</w:t>
      </w:r>
    </w:p>
    <w:p>
      <w:pPr>
        <w:pStyle w:val="Heading1"/>
      </w:pPr>
      <w:r>
        <w:t>6. Implementation, adoption, and support</w:t>
      </w:r>
    </w:p>
    <w:p>
      <w:pPr>
        <w:pStyle w:val="ListNumber"/>
      </w:pPr>
      <w:r>
        <w:t>Provide the proposed first-workflow timeline, dependencies, data preparation, integrations, testing, training, and customer responsibilities.</w:t>
      </w:r>
    </w:p>
    <w:p>
      <w:pPr>
        <w:pStyle w:val="ListNumber"/>
      </w:pPr>
      <w:r>
        <w:t>Name the vendor and customer roles required during implementation and routine operation, including coverage when the initial champion leaves.</w:t>
      </w:r>
    </w:p>
    <w:p>
      <w:pPr>
        <w:pStyle w:val="ListNumber"/>
      </w:pPr>
      <w:r>
        <w:t>Describe the support path, response expectations, change-management process, and method for correcting a flawed workflow or generated output.</w:t>
      </w:r>
    </w:p>
    <w:p>
      <w:pPr>
        <w:pStyle w:val="ListNumber"/>
      </w:pPr>
      <w:r>
        <w:t>Provide two relevant references who can reconstruct implementation effort and one workflow from trigger through outcome capture.</w:t>
      </w:r>
    </w:p>
    <w:p>
      <w:pPr>
        <w:pStyle w:val="Heading1"/>
      </w:pPr>
      <w:r>
        <w:t>7. Pilot evidence, learning, and exit</w:t>
      </w:r>
    </w:p>
    <w:p>
      <w:pPr>
        <w:pStyle w:val="ListNumber"/>
      </w:pPr>
      <w:r>
        <w:t>Propose a bounded pilot with baseline, review cadence, source-quality checks, human gates, and a named decision date.</w:t>
      </w:r>
    </w:p>
    <w:p>
      <w:pPr>
        <w:pStyle w:val="ListNumber"/>
      </w:pPr>
      <w:r>
        <w:t>Report leading indicators such as owner coverage, signal-to-brief time, missing-proof blockers, gates cleared, stale follow-ups, and decisions captured. Do not use output volume alone as success evidence.</w:t>
      </w:r>
    </w:p>
    <w:p>
      <w:pPr>
        <w:pStyle w:val="ListNumber"/>
      </w:pPr>
      <w:r>
        <w:t>Show how donor responses, objections, proof gaps, pause reasons, and workflow corrections update a reusable playbook.</w:t>
      </w:r>
    </w:p>
    <w:p>
      <w:pPr>
        <w:pStyle w:val="ListNumber"/>
      </w:pPr>
      <w:r>
        <w:t>Define scale, redesign, and stop conditions plus the process for exporting or deleting data and organizational memory at exit.</w:t>
      </w:r>
    </w:p>
    <w:p>
      <w:pPr>
        <w:pStyle w:val="Heading1"/>
      </w:pPr>
      <w:r>
        <w:t>Evidence scoring rubric</w:t>
      </w:r>
    </w:p>
    <w:p>
      <w:r>
        <w:t>Score each requirement independently. Record the evidence reviewed and any implementation dependency beside the score.</w:t>
      </w:r>
    </w:p>
    <w:tbl>
      <w:tblPr>
        <w:tblStyle w:val="LightShading-Accent1"/>
        <w:tblW w:type="auto" w:w="0"/>
        <w:jc w:val="center"/>
        <w:tblLook w:firstColumn="1" w:firstRow="1" w:lastColumn="0" w:lastRow="0" w:noHBand="0" w:noVBand="1" w:val="04A0"/>
      </w:tblPr>
      <w:tblGrid>
        <w:gridCol w:w="3312"/>
        <w:gridCol w:w="3312"/>
        <w:gridCol w:w="3312"/>
      </w:tblGrid>
      <w:tr>
        <w:tc>
          <w:tcPr>
            <w:tcW w:type="dxa" w:w="3312"/>
            <w:vAlign w:val="center"/>
          </w:tcPr>
          <w:p>
            <w:r>
              <w:rPr>
                <w:b/>
              </w:rPr>
              <w:t>Score</w:t>
            </w:r>
          </w:p>
        </w:tc>
        <w:tc>
          <w:tcPr>
            <w:tcW w:type="dxa" w:w="3312"/>
            <w:vAlign w:val="center"/>
          </w:tcPr>
          <w:p>
            <w:r>
              <w:rPr>
                <w:b/>
              </w:rPr>
              <w:t>Level</w:t>
            </w:r>
          </w:p>
        </w:tc>
        <w:tc>
          <w:tcPr>
            <w:tcW w:type="dxa" w:w="3312"/>
            <w:vAlign w:val="center"/>
          </w:tcPr>
          <w:p>
            <w:r>
              <w:rPr>
                <w:b/>
              </w:rPr>
              <w:t>Evidence standard</w:t>
            </w:r>
          </w:p>
        </w:tc>
      </w:tr>
      <w:tr>
        <w:tc>
          <w:tcPr>
            <w:tcW w:type="dxa" w:w="3312"/>
            <w:vAlign w:val="center"/>
          </w:tcPr>
          <w:p>
            <w:r>
              <w:t>0</w:t>
            </w:r>
          </w:p>
        </w:tc>
        <w:tc>
          <w:tcPr>
            <w:tcW w:type="dxa" w:w="3312"/>
            <w:vAlign w:val="center"/>
          </w:tcPr>
          <w:p>
            <w:r>
              <w:t>No response</w:t>
            </w:r>
          </w:p>
        </w:tc>
        <w:tc>
          <w:tcPr>
            <w:tcW w:type="dxa" w:w="3312"/>
            <w:vAlign w:val="center"/>
          </w:tcPr>
          <w:p>
            <w:r>
              <w:t>The requirement is unsupported, unavailable, or omitted from the response.</w:t>
            </w:r>
          </w:p>
        </w:tc>
      </w:tr>
      <w:tr>
        <w:tc>
          <w:tcPr>
            <w:tcW w:type="dxa" w:w="3312"/>
            <w:vAlign w:val="center"/>
          </w:tcPr>
          <w:p>
            <w:r>
              <w:t>1</w:t>
            </w:r>
          </w:p>
        </w:tc>
        <w:tc>
          <w:tcPr>
            <w:tcW w:type="dxa" w:w="3312"/>
            <w:vAlign w:val="center"/>
          </w:tcPr>
          <w:p>
            <w:r>
              <w:t>Claim only</w:t>
            </w:r>
          </w:p>
        </w:tc>
        <w:tc>
          <w:tcPr>
            <w:tcW w:type="dxa" w:w="3312"/>
            <w:vAlign w:val="center"/>
          </w:tcPr>
          <w:p>
            <w:r>
              <w:t>The bidder makes a general claim, relies on roadmap language, or provides no inspectable evidence.</w:t>
            </w:r>
          </w:p>
        </w:tc>
      </w:tr>
      <w:tr>
        <w:tc>
          <w:tcPr>
            <w:tcW w:type="dxa" w:w="3312"/>
            <w:vAlign w:val="center"/>
          </w:tcPr>
          <w:p>
            <w:r>
              <w:t>2</w:t>
            </w:r>
          </w:p>
        </w:tc>
        <w:tc>
          <w:tcPr>
            <w:tcW w:type="dxa" w:w="3312"/>
            <w:vAlign w:val="center"/>
          </w:tcPr>
          <w:p>
            <w:r>
              <w:t>Current with gaps</w:t>
            </w:r>
          </w:p>
        </w:tc>
        <w:tc>
          <w:tcPr>
            <w:tcW w:type="dxa" w:w="3312"/>
            <w:vAlign w:val="center"/>
          </w:tcPr>
          <w:p>
            <w:r>
              <w:t>A current capability and evidence are available, but workflow fit, ownership, controls, or implementation details remain incomplete.</w:t>
            </w:r>
          </w:p>
        </w:tc>
      </w:tr>
      <w:tr>
        <w:tc>
          <w:tcPr>
            <w:tcW w:type="dxa" w:w="3312"/>
            <w:vAlign w:val="center"/>
          </w:tcPr>
          <w:p>
            <w:r>
              <w:t>3</w:t>
            </w:r>
          </w:p>
        </w:tc>
        <w:tc>
          <w:tcPr>
            <w:tcW w:type="dxa" w:w="3312"/>
            <w:vAlign w:val="center"/>
          </w:tcPr>
          <w:p>
            <w:r>
              <w:t>Demonstrated fit</w:t>
            </w:r>
          </w:p>
        </w:tc>
        <w:tc>
          <w:tcPr>
            <w:tcW w:type="dxa" w:w="3312"/>
            <w:vAlign w:val="center"/>
          </w:tcPr>
          <w:p>
            <w:r>
              <w:t>The bidder demonstrates the requirement against the institution's workflow with inspectable sources, named owners, controls, and an implementation path.</w:t>
            </w:r>
          </w:p>
        </w:tc>
      </w:tr>
    </w:tbl>
    <w:p>
      <w:r>
        <w:t>A high total does not override a failed security, privacy, accessibility, or human-governance requirement. Treat those requirements as gates, not points to average away.</w:t>
      </w:r>
    </w:p>
    <w:p>
      <w:r>
        <w:t>Use the companion evidence scorecard to record scores, evidence, delivery status, dependencies, gate outcomes, and evaluator notes.</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4B5563"/>
        <w:sz w:val="16"/>
      </w:rPr>
      <w:t>GradRoots | AI fundraising software RFP template | gradroots.com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47857"/>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047857"/>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064E3B"/>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fundraising software RFP template</dc:title>
  <dc:subject>A buyer-side RFP for evaluating AI fundraising software against one donor workflow.</dc:subject>
  <dc:creator>GradRoots</dc:creator>
  <cp:keywords>AI fundraising software, RFP template, advancement, donor momentum</cp:keywords>
  <dc:description>generated by python-docx</dc:description>
  <cp:lastModifiedBy/>
  <cp:revision>1</cp:revision>
  <dcterms:created xsi:type="dcterms:W3CDTF">2013-12-23T23:15:00Z</dcterms:created>
  <dcterms:modified xsi:type="dcterms:W3CDTF">2013-12-23T23:15:00Z</dcterms:modified>
  <cp:category/>
</cp:coreProperties>
</file>